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sz w:val="32"/>
          <w:szCs w:val="32"/>
          <w:lang w:val="en-US" w:eastAsia="zh-CN"/>
        </w:rPr>
        <w:t>1</w:t>
      </w:r>
      <w:r>
        <w:rPr>
          <w:rFonts w:ascii="黑体" w:hAnsi="黑体" w:eastAsia="黑体" w:cs="宋体"/>
          <w:b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rPr>
          <w:rFonts w:ascii="黑体" w:hAnsi="黑体" w:eastAsia="黑体" w:cs="宋体"/>
          <w:b/>
          <w:kern w:val="0"/>
          <w:sz w:val="40"/>
          <w:szCs w:val="32"/>
        </w:rPr>
      </w:pPr>
      <w:r>
        <w:rPr>
          <w:rFonts w:hint="eastAsia" w:ascii="黑体" w:hAnsi="黑体" w:eastAsia="黑体" w:cs="宋体"/>
          <w:b/>
          <w:sz w:val="40"/>
          <w:szCs w:val="32"/>
        </w:rPr>
        <w:t>校区岗位及</w:t>
      </w:r>
      <w:r>
        <w:rPr>
          <w:rFonts w:ascii="黑体" w:hAnsi="黑体" w:eastAsia="黑体" w:cs="宋体"/>
          <w:b/>
          <w:sz w:val="40"/>
          <w:szCs w:val="32"/>
        </w:rPr>
        <w:t>申请条件</w:t>
      </w:r>
      <w:r>
        <w:rPr>
          <w:rFonts w:hint="eastAsia" w:ascii="黑体" w:hAnsi="黑体" w:eastAsia="黑体" w:cs="宋体"/>
          <w:b/>
          <w:sz w:val="40"/>
          <w:szCs w:val="32"/>
        </w:rPr>
        <w:t>、</w:t>
      </w:r>
      <w:r>
        <w:rPr>
          <w:rFonts w:ascii="黑体" w:hAnsi="黑体" w:eastAsia="黑体" w:cs="宋体"/>
          <w:b/>
          <w:sz w:val="40"/>
          <w:szCs w:val="32"/>
        </w:rPr>
        <w:t>岗位待遇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55"/>
        <w:rPr>
          <w:rFonts w:ascii="黑体" w:hAnsi="黑体" w:eastAsia="黑体" w:cs="宋体"/>
          <w:b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55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一、北京校区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55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（一）岗位及申请条件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华文仿宋" w:eastAsia="仿宋_GB2312" w:cs="宋体"/>
          <w:sz w:val="32"/>
          <w:szCs w:val="30"/>
          <w:shd w:val="clear" w:color="auto" w:fill="FFFFFF"/>
        </w:rPr>
      </w:pPr>
      <w:r>
        <w:rPr>
          <w:rFonts w:hint="eastAsia" w:ascii="仿宋_GB2312" w:hAnsi="华文仿宋" w:eastAsia="仿宋_GB2312" w:cs="宋体"/>
          <w:b/>
          <w:sz w:val="32"/>
          <w:szCs w:val="30"/>
          <w:shd w:val="clear" w:color="auto" w:fill="FFFFFF"/>
        </w:rPr>
        <w:t>1. 青年拔尖学者：</w:t>
      </w: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具有广阔的学术视野、活跃的创新思维、突出的创新能力和突出的发展潜力，取得高水平、创新性的专业成就，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在本学科、相关领域与行业具有影响力的青年人才。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华文仿宋" w:eastAsia="仿宋_GB2312" w:cs="宋体"/>
          <w:sz w:val="32"/>
          <w:szCs w:val="30"/>
          <w:shd w:val="clear" w:color="auto" w:fill="FFFFFF"/>
        </w:rPr>
      </w:pPr>
      <w:r>
        <w:rPr>
          <w:rFonts w:hint="eastAsia" w:ascii="仿宋_GB2312" w:hAnsi="华文仿宋" w:eastAsia="仿宋_GB2312" w:cs="宋体"/>
          <w:b/>
          <w:sz w:val="32"/>
          <w:szCs w:val="30"/>
          <w:shd w:val="clear" w:color="auto" w:fill="FFFFFF"/>
        </w:rPr>
        <w:t>2. 优秀骨干人才：</w:t>
      </w: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在海内外知名高校取得博士学位或具有博士后经历或海外工作经历，具有活跃的创新思维、较强的创新能力和较好的发展潜力，取得</w:t>
      </w:r>
      <w:r>
        <w:rPr>
          <w:rFonts w:ascii="仿宋_GB2312" w:hAnsi="华文仿宋" w:eastAsia="仿宋_GB2312" w:cs="宋体"/>
          <w:sz w:val="32"/>
          <w:szCs w:val="30"/>
          <w:shd w:val="clear" w:color="auto" w:fill="FFFFFF"/>
        </w:rPr>
        <w:t>突出的</w:t>
      </w: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研究成果，在本学科、相关领域与行业具有较大发展潜力的青年人才。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华文仿宋" w:eastAsia="仿宋_GB2312" w:cs="宋体"/>
          <w:b/>
          <w:sz w:val="32"/>
          <w:szCs w:val="30"/>
          <w:shd w:val="clear" w:color="auto" w:fill="FFFFFF"/>
        </w:rPr>
      </w:pPr>
      <w:r>
        <w:rPr>
          <w:rFonts w:hint="eastAsia" w:ascii="仿宋_GB2312" w:hAnsi="华文仿宋" w:eastAsia="仿宋_GB2312" w:cs="宋体"/>
          <w:b/>
          <w:sz w:val="32"/>
          <w:szCs w:val="30"/>
          <w:shd w:val="clear" w:color="auto" w:fill="FFFFFF"/>
        </w:rPr>
        <w:t>3. 励耘博士后：</w:t>
      </w: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不超过35周岁，具有良好的思想品德和创新能力的优秀博士毕业生，</w:t>
      </w:r>
      <w:r>
        <w:rPr>
          <w:rFonts w:ascii="仿宋_GB2312" w:hAnsi="华文仿宋" w:eastAsia="仿宋_GB2312" w:cs="宋体"/>
          <w:sz w:val="32"/>
          <w:szCs w:val="30"/>
          <w:shd w:val="clear" w:color="auto" w:fill="FFFFFF"/>
        </w:rPr>
        <w:t>具体</w:t>
      </w: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参照全国博士后管理委员会“国际交流计划”引进项目和“博士后创新人才支持计划”等国家项目博士后关于入选的相关要求。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55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（二）岗位待遇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华文仿宋" w:eastAsia="仿宋_GB2312" w:cs="宋体"/>
          <w:b/>
          <w:sz w:val="32"/>
          <w:szCs w:val="30"/>
          <w:shd w:val="clear" w:color="auto" w:fill="FFFFFF"/>
        </w:rPr>
      </w:pPr>
      <w:r>
        <w:rPr>
          <w:rFonts w:hint="eastAsia" w:ascii="仿宋_GB2312" w:hAnsi="华文仿宋" w:eastAsia="仿宋_GB2312" w:cs="宋体"/>
          <w:b/>
          <w:sz w:val="32"/>
          <w:szCs w:val="30"/>
          <w:shd w:val="clear" w:color="auto" w:fill="FFFFFF"/>
        </w:rPr>
        <w:t>1.</w:t>
      </w:r>
      <w:r>
        <w:rPr>
          <w:rFonts w:ascii="仿宋_GB2312" w:hAnsi="华文仿宋" w:eastAsia="仿宋_GB2312" w:cs="宋体"/>
          <w:b/>
          <w:sz w:val="32"/>
          <w:szCs w:val="30"/>
          <w:shd w:val="clear" w:color="auto" w:fill="FFFFFF"/>
        </w:rPr>
        <w:t xml:space="preserve"> </w:t>
      </w:r>
      <w:r>
        <w:rPr>
          <w:rFonts w:hint="eastAsia" w:ascii="仿宋_GB2312" w:hAnsi="华文仿宋" w:eastAsia="仿宋_GB2312" w:cs="宋体"/>
          <w:b/>
          <w:sz w:val="32"/>
          <w:szCs w:val="30"/>
          <w:shd w:val="clear" w:color="auto" w:fill="FFFFFF"/>
        </w:rPr>
        <w:t>生活待遇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</w:pP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（1）提供具有行业竞争力的薪酬待遇；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hAnsi="华文仿宋" w:eastAsia="仿宋_GB2312" w:cs="宋体"/>
          <w:sz w:val="32"/>
          <w:szCs w:val="30"/>
          <w:shd w:val="clear" w:color="auto" w:fill="FFFFFF"/>
        </w:rPr>
      </w:pP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（2）为子女提供全国顶尖基础教育资源（外籍教师按照国家和北京市相关政策执行）；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</w:pPr>
      <w:r>
        <w:rPr>
          <w:rFonts w:hint="eastAsia" w:ascii="仿宋_GB2312" w:hAnsi="华文仿宋" w:eastAsia="仿宋_GB2312" w:cs="宋体"/>
          <w:sz w:val="32"/>
          <w:szCs w:val="30"/>
          <w:shd w:val="clear" w:color="auto" w:fill="FFFFFF"/>
        </w:rPr>
        <w:t>（3）为高层次人才提供优厚的生活补贴和便利的周转住房。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2021-11-13T03:55:16Z</dcterms:created>
  <dc:creator>admin</dc:creator>
  <cp:lastModifiedBy>简简单单</cp:lastModifiedBy>
  <dcterms:modified xsi:type="dcterms:W3CDTF">2021-11-13T03:55:23Z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360F326A77CB4507A3DD54B38A8835FC</vt:lpwstr>
  </property>
</Properties>
</file>